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0A4AC" w14:textId="7A3DD9CE" w:rsidR="008E7C7F" w:rsidRDefault="008E7C7F" w:rsidP="008E7C7F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 w:rsidR="00533D11">
        <w:rPr>
          <w:rFonts w:ascii="Arial" w:hAnsi="Arial" w:cs="Arial"/>
          <w:b/>
          <w:sz w:val="24"/>
          <w:szCs w:val="24"/>
          <w:lang w:val="en-US"/>
        </w:rPr>
        <w:t xml:space="preserve">N WG4 Meeting # 106 </w:t>
      </w:r>
      <w:r w:rsidR="00533D11">
        <w:rPr>
          <w:rFonts w:ascii="Arial" w:hAnsi="Arial" w:cs="Arial"/>
          <w:b/>
          <w:sz w:val="24"/>
          <w:szCs w:val="24"/>
          <w:lang w:val="en-US"/>
        </w:rPr>
        <w:tab/>
      </w:r>
      <w:r w:rsidR="00533D11" w:rsidRPr="00533D11">
        <w:rPr>
          <w:rFonts w:ascii="Arial" w:hAnsi="Arial" w:cs="Arial"/>
          <w:b/>
          <w:sz w:val="24"/>
          <w:szCs w:val="24"/>
          <w:lang w:val="en-US"/>
        </w:rPr>
        <w:t>R4-2301427</w:t>
      </w:r>
    </w:p>
    <w:p w14:paraId="7A1A3871" w14:textId="77777777" w:rsidR="008E7C7F" w:rsidRPr="00F44C66" w:rsidRDefault="008E7C7F" w:rsidP="008E7C7F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415CE">
        <w:rPr>
          <w:rFonts w:ascii="Arial" w:hAnsi="Arial" w:cs="Arial"/>
          <w:b/>
          <w:sz w:val="24"/>
          <w:szCs w:val="24"/>
        </w:rPr>
        <w:t>Athens, Greece, February 27 – March 3, 2022</w:t>
      </w:r>
    </w:p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bookmarkStart w:id="2" w:name="_Toc5938268"/>
      <w:bookmarkStart w:id="3" w:name="_Toc9865820"/>
      <w:bookmarkStart w:id="4" w:name="_Toc21086244"/>
      <w:bookmarkStart w:id="5" w:name="_Toc29768680"/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0378EF48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33D11" w:rsidRPr="00533D11">
        <w:rPr>
          <w:rFonts w:ascii="Arial" w:hAnsi="Arial" w:cs="Arial"/>
          <w:sz w:val="22"/>
        </w:rPr>
        <w:t>Feasibility study from UE aspect</w:t>
      </w:r>
    </w:p>
    <w:p w14:paraId="0F34F3E0" w14:textId="3FC6E8C8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8E7C7F" w:rsidRPr="008E7C7F">
        <w:rPr>
          <w:rFonts w:ascii="Arial" w:hAnsi="Arial" w:cs="Arial"/>
          <w:sz w:val="22"/>
        </w:rPr>
        <w:t>9.19.2.2.2</w:t>
      </w:r>
    </w:p>
    <w:p w14:paraId="7D7C8C39" w14:textId="7E08612B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D164F">
        <w:rPr>
          <w:rFonts w:ascii="Arial" w:eastAsia="宋体" w:hAnsi="Arial" w:cs="Arial"/>
          <w:sz w:val="22"/>
          <w:lang w:eastAsia="zh-CN"/>
        </w:rPr>
        <w:t>Discussion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67FFB57" w14:textId="757E2438" w:rsidR="00174F84" w:rsidRDefault="00676DF8" w:rsidP="00214F09">
      <w:r>
        <w:rPr>
          <w:lang w:eastAsia="zh-CN"/>
        </w:rPr>
        <w:t xml:space="preserve">The </w:t>
      </w:r>
      <w:proofErr w:type="spellStart"/>
      <w:r w:rsidR="00EA3F47">
        <w:rPr>
          <w:lang w:eastAsia="zh-CN"/>
        </w:rPr>
        <w:t>Tx</w:t>
      </w:r>
      <w:proofErr w:type="spellEnd"/>
      <w:r w:rsidR="00EA3F47">
        <w:rPr>
          <w:lang w:eastAsia="zh-CN"/>
        </w:rPr>
        <w:t xml:space="preserve">/Rx </w:t>
      </w:r>
      <w:r>
        <w:rPr>
          <w:lang w:eastAsia="zh-CN"/>
        </w:rPr>
        <w:t>model</w:t>
      </w:r>
      <w:r w:rsidR="00EA3F47">
        <w:rPr>
          <w:lang w:eastAsia="zh-CN"/>
        </w:rPr>
        <w:t>s</w:t>
      </w:r>
      <w:r>
        <w:rPr>
          <w:lang w:eastAsia="zh-CN"/>
        </w:rPr>
        <w:t xml:space="preserve"> for </w:t>
      </w:r>
      <w:r w:rsidR="00EA3F47">
        <w:rPr>
          <w:lang w:eastAsia="zh-CN"/>
        </w:rPr>
        <w:t xml:space="preserve">UE in the system simulation for SBDF operation were discussed in last meeting and WF </w:t>
      </w:r>
      <w:r w:rsidR="00EA3F47" w:rsidRPr="00EA3F47">
        <w:rPr>
          <w:lang w:eastAsia="zh-CN"/>
        </w:rPr>
        <w:t>for the feasibility from UE aspect</w:t>
      </w:r>
      <w:r w:rsidR="00EA3F47">
        <w:rPr>
          <w:lang w:eastAsia="zh-CN"/>
        </w:rPr>
        <w:t xml:space="preserve"> </w:t>
      </w:r>
      <w:r w:rsidR="007F687A">
        <w:rPr>
          <w:lang w:eastAsia="zh-CN"/>
        </w:rPr>
        <w:t>was approved in [1].</w:t>
      </w:r>
    </w:p>
    <w:p w14:paraId="3F250422" w14:textId="092BDC92" w:rsidR="003B6E75" w:rsidRDefault="003B6E75" w:rsidP="00214F09">
      <w:pPr>
        <w:rPr>
          <w:lang w:eastAsia="zh-CN"/>
        </w:rPr>
      </w:pPr>
      <w:r>
        <w:t xml:space="preserve">In this contribution, we provide </w:t>
      </w:r>
      <w:r w:rsidR="00D2331B">
        <w:t xml:space="preserve">some </w:t>
      </w:r>
      <w:r w:rsidR="00934D2F">
        <w:t>discussion on the open issues</w:t>
      </w:r>
      <w:r w:rsidR="00882968">
        <w:t>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44BED946" w14:textId="4DE6F674" w:rsidR="00934D2F" w:rsidRDefault="00934D2F" w:rsidP="00934D2F">
      <w:pPr>
        <w:pStyle w:val="3GPPlevel3"/>
      </w:pPr>
      <w:r>
        <w:t xml:space="preserve">2.1 </w:t>
      </w:r>
      <w:r w:rsidRPr="00934D2F">
        <w:t>TX modelling for UE-UE CLI for RAN1 and RAN4 simulation (co-channel)</w:t>
      </w:r>
    </w:p>
    <w:p w14:paraId="194914C7" w14:textId="16F7CFDF" w:rsidR="00934D2F" w:rsidRDefault="00934D2F" w:rsidP="00934D2F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7539AFFF" w14:textId="77777777" w:rsidR="00934D2F" w:rsidRDefault="00934D2F" w:rsidP="00934D2F">
      <w:pPr>
        <w:pStyle w:val="af9"/>
        <w:numPr>
          <w:ilvl w:val="1"/>
          <w:numId w:val="35"/>
        </w:numPr>
        <w:autoSpaceDN w:val="0"/>
        <w:spacing w:after="120" w:line="256" w:lineRule="auto"/>
        <w:ind w:left="2224" w:firstLineChars="0"/>
      </w:pPr>
      <w:r>
        <w:t xml:space="preserve">RAN4 inform RAN1 that the IBE-based model shall be used for TX modelling for UE-UE CLI for the co-channel case in RAN1 system-level simulation: </w:t>
      </w:r>
    </w:p>
    <w:p w14:paraId="4121C365" w14:textId="77777777" w:rsidR="00934D2F" w:rsidRDefault="00934D2F" w:rsidP="00934D2F">
      <w:pPr>
        <w:pStyle w:val="af9"/>
        <w:numPr>
          <w:ilvl w:val="2"/>
          <w:numId w:val="35"/>
        </w:numPr>
        <w:autoSpaceDN w:val="0"/>
        <w:spacing w:after="120" w:line="256" w:lineRule="auto"/>
        <w:ind w:left="2944" w:firstLineChars="0"/>
      </w:pPr>
      <w:r>
        <w:t xml:space="preserve">IBE models provided in clause 6.4.2.3 in TS38.101-1 and clause 6.4.2.3.4 in TS38.101-2 shall be followed. </w:t>
      </w:r>
    </w:p>
    <w:p w14:paraId="4751D9F9" w14:textId="77777777" w:rsidR="00934D2F" w:rsidRDefault="00934D2F" w:rsidP="00934D2F">
      <w:pPr>
        <w:pStyle w:val="af9"/>
        <w:numPr>
          <w:ilvl w:val="2"/>
          <w:numId w:val="35"/>
        </w:numPr>
        <w:autoSpaceDN w:val="0"/>
        <w:spacing w:after="120" w:line="256" w:lineRule="auto"/>
        <w:ind w:left="2944" w:firstLineChars="0"/>
      </w:pPr>
      <w:r>
        <w:t xml:space="preserve">The general and IQ Image part of in-band emission model shall be considered, while the carrier leakage part can be ignored. </w:t>
      </w:r>
    </w:p>
    <w:p w14:paraId="3BEE49EC" w14:textId="5902B23C" w:rsidR="00934D2F" w:rsidRDefault="00A72ACC" w:rsidP="00934D2F">
      <w:pPr>
        <w:rPr>
          <w:lang w:eastAsia="zh-CN"/>
        </w:rPr>
      </w:pPr>
      <w:r>
        <w:rPr>
          <w:lang w:eastAsia="zh-CN"/>
        </w:rPr>
        <w:t>We also agree the following configurations applicable for the simulation.</w:t>
      </w:r>
    </w:p>
    <w:p w14:paraId="68B7C48D" w14:textId="77777777" w:rsidR="00A72ACC" w:rsidRDefault="00A72ACC" w:rsidP="00A72ACC">
      <w:pPr>
        <w:pStyle w:val="af9"/>
        <w:numPr>
          <w:ilvl w:val="2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FR1, at least below configuration applicable:</w:t>
      </w:r>
    </w:p>
    <w:p w14:paraId="6CFC4EE7" w14:textId="77777777" w:rsidR="00A72ACC" w:rsidRDefault="00A72ACC" w:rsidP="00A72ACC">
      <w:pPr>
        <w:pStyle w:val="af9"/>
        <w:numPr>
          <w:ilvl w:val="3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{DUD=40MHz:20MHz:40MHz} </w:t>
      </w:r>
    </w:p>
    <w:p w14:paraId="266BF386" w14:textId="77777777" w:rsidR="00A72ACC" w:rsidRDefault="00A72ACC" w:rsidP="00A72ACC">
      <w:pPr>
        <w:pStyle w:val="af9"/>
        <w:numPr>
          <w:ilvl w:val="3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{DU =80MHz:20MHz}</w:t>
      </w:r>
    </w:p>
    <w:p w14:paraId="166A1C0C" w14:textId="77777777" w:rsidR="00A72ACC" w:rsidRDefault="00A72ACC" w:rsidP="00A72ACC">
      <w:pPr>
        <w:pStyle w:val="af9"/>
        <w:numPr>
          <w:ilvl w:val="2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FR2, at least below configurations applicable:</w:t>
      </w:r>
    </w:p>
    <w:p w14:paraId="7FC2ACF5" w14:textId="77777777" w:rsidR="00A72ACC" w:rsidRDefault="00A72ACC" w:rsidP="00A72ACC">
      <w:pPr>
        <w:pStyle w:val="af9"/>
        <w:numPr>
          <w:ilvl w:val="3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{DUD=80MHz:40MHz:80MHz}</w:t>
      </w:r>
    </w:p>
    <w:p w14:paraId="6A722079" w14:textId="77777777" w:rsidR="00A72ACC" w:rsidRDefault="00A72ACC" w:rsidP="00A72ACC">
      <w:pPr>
        <w:pStyle w:val="af9"/>
        <w:numPr>
          <w:ilvl w:val="3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{DUD=75MHz:50MHz:75MHz}</w:t>
      </w:r>
    </w:p>
    <w:p w14:paraId="3754AA55" w14:textId="77777777" w:rsidR="00A72ACC" w:rsidRDefault="00A72ACC" w:rsidP="00A72ACC">
      <w:pPr>
        <w:pStyle w:val="af9"/>
        <w:numPr>
          <w:ilvl w:val="3"/>
          <w:numId w:val="36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{DU: 160MHz:40MHz}</w:t>
      </w:r>
    </w:p>
    <w:p w14:paraId="577C9A23" w14:textId="771AEF68" w:rsidR="00A72ACC" w:rsidRDefault="009400AC" w:rsidP="00934D2F">
      <w:pPr>
        <w:rPr>
          <w:lang w:eastAsia="zh-CN"/>
        </w:rPr>
      </w:pPr>
      <w:r>
        <w:rPr>
          <w:lang w:eastAsia="zh-CN"/>
        </w:rPr>
        <w:t xml:space="preserve">For DUD configuration, </w:t>
      </w:r>
      <w:r w:rsidR="0037773B">
        <w:rPr>
          <w:lang w:eastAsia="zh-CN"/>
        </w:rPr>
        <w:t xml:space="preserve">the UL sub-band is allocated in the centre of channel bandwidth. The IQ image still falls into the UL sub-band. </w:t>
      </w:r>
      <w:r w:rsidR="00A72ACC">
        <w:rPr>
          <w:lang w:eastAsia="zh-CN"/>
        </w:rPr>
        <w:t xml:space="preserve">Hence at least for DUD configuration, </w:t>
      </w:r>
      <w:r w:rsidR="0037773B">
        <w:rPr>
          <w:lang w:eastAsia="zh-CN"/>
        </w:rPr>
        <w:t xml:space="preserve">the IQ image </w:t>
      </w:r>
      <w:r w:rsidR="00BE13ED">
        <w:rPr>
          <w:lang w:eastAsia="zh-CN"/>
        </w:rPr>
        <w:t>also can be ignored.</w:t>
      </w:r>
      <w:r w:rsidR="002F283D">
        <w:rPr>
          <w:lang w:eastAsia="zh-CN"/>
        </w:rPr>
        <w:t xml:space="preserve"> We are open to discuss whether only consider the general part for of IBE for the simulation.</w:t>
      </w:r>
    </w:p>
    <w:p w14:paraId="6E731D9E" w14:textId="7B962DA5" w:rsidR="00BE13ED" w:rsidRDefault="00055CCA" w:rsidP="00934D2F">
      <w:pPr>
        <w:rPr>
          <w:lang w:eastAsia="zh-CN"/>
        </w:rPr>
      </w:pPr>
      <w:r w:rsidRPr="00055CCA">
        <w:rPr>
          <w:b/>
          <w:lang w:eastAsia="zh-CN"/>
        </w:rPr>
        <w:t>Observation 1</w:t>
      </w:r>
      <w:r>
        <w:rPr>
          <w:lang w:eastAsia="zh-CN"/>
        </w:rPr>
        <w:t>: at least for DUD configuration, the IQ image also can be ignored.</w:t>
      </w:r>
    </w:p>
    <w:p w14:paraId="04E5BA08" w14:textId="77777777" w:rsidR="00C079EB" w:rsidRPr="00C079EB" w:rsidRDefault="00C079EB" w:rsidP="00934D2F">
      <w:pPr>
        <w:rPr>
          <w:lang w:eastAsia="zh-CN"/>
        </w:rPr>
      </w:pPr>
    </w:p>
    <w:p w14:paraId="6DEF21AB" w14:textId="1C657CB4" w:rsidR="00055CCA" w:rsidRPr="00D46CD4" w:rsidRDefault="008D434B" w:rsidP="00055CCA">
      <w:pPr>
        <w:pStyle w:val="3GPPlevel3"/>
      </w:pPr>
      <w:r>
        <w:lastRenderedPageBreak/>
        <w:t>2.2</w:t>
      </w:r>
      <w:r w:rsidR="00055CCA">
        <w:t xml:space="preserve"> </w:t>
      </w:r>
      <w:r w:rsidR="00085B90">
        <w:rPr>
          <w:lang w:eastAsia="zh-CN"/>
        </w:rPr>
        <w:t>R</w:t>
      </w:r>
      <w:r w:rsidR="00D46CD4" w:rsidRPr="00D46CD4">
        <w:rPr>
          <w:lang w:eastAsia="zh-CN"/>
        </w:rPr>
        <w:t>X m</w:t>
      </w:r>
      <w:r w:rsidR="00D46CD4">
        <w:rPr>
          <w:lang w:eastAsia="zh-CN"/>
        </w:rPr>
        <w:t>odelling for UE-UE CLI</w:t>
      </w:r>
      <w:r w:rsidR="00D46CD4" w:rsidRPr="00D46CD4">
        <w:rPr>
          <w:lang w:eastAsia="zh-CN"/>
        </w:rPr>
        <w:t xml:space="preserve"> (co-channel)</w:t>
      </w:r>
    </w:p>
    <w:p w14:paraId="49A5C536" w14:textId="77777777" w:rsidR="00AF7185" w:rsidRDefault="00AF7185" w:rsidP="00AF7185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71C44DDC" w14:textId="51E70A96" w:rsidR="00AF7185" w:rsidRDefault="00AF7185" w:rsidP="00AF7185">
      <w:pPr>
        <w:ind w:left="284"/>
        <w:rPr>
          <w:b/>
          <w:bCs/>
          <w:i/>
          <w:iCs/>
          <w:u w:val="single"/>
          <w:lang w:eastAsia="ja-JP"/>
        </w:rPr>
      </w:pPr>
      <w:r w:rsidRPr="00AF7185">
        <w:rPr>
          <w:b/>
          <w:bCs/>
          <w:i/>
          <w:iCs/>
          <w:u w:val="single"/>
          <w:lang w:eastAsia="ja-JP"/>
        </w:rPr>
        <w:t>Receiver sub-band selectivity</w:t>
      </w:r>
      <w:r>
        <w:rPr>
          <w:b/>
          <w:bCs/>
          <w:i/>
          <w:iCs/>
          <w:u w:val="single"/>
          <w:lang w:eastAsia="ja-JP"/>
        </w:rPr>
        <w:t>:</w:t>
      </w:r>
    </w:p>
    <w:p w14:paraId="25C750DA" w14:textId="77777777" w:rsidR="00AF7185" w:rsidRDefault="00AF7185" w:rsidP="00AF7185">
      <w:pPr>
        <w:pStyle w:val="af9"/>
        <w:numPr>
          <w:ilvl w:val="0"/>
          <w:numId w:val="37"/>
        </w:numPr>
        <w:overflowPunct w:val="0"/>
        <w:autoSpaceDE w:val="0"/>
        <w:autoSpaceDN w:val="0"/>
        <w:adjustRightInd w:val="0"/>
        <w:spacing w:line="256" w:lineRule="auto"/>
        <w:ind w:left="1004" w:firstLineChars="0"/>
        <w:rPr>
          <w:lang w:eastAsia="ja-JP"/>
        </w:rPr>
      </w:pPr>
      <w:r>
        <w:rPr>
          <w:szCs w:val="24"/>
          <w:lang w:eastAsia="zh-CN"/>
        </w:rPr>
        <w:t>For legacy UE: For receiver sub-band selectivity, no rejection/attenuation due to RF/BB filtering is assumed on interference in adjacent sub-band as legacy UEs do not operate this way.</w:t>
      </w:r>
    </w:p>
    <w:p w14:paraId="6A757D48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>Use typical model for UE selectivity value</w:t>
      </w:r>
    </w:p>
    <w:p w14:paraId="385414F0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>The selectivity and performance of the FFT is included in RAN4 study for co-channel case</w:t>
      </w:r>
    </w:p>
    <w:p w14:paraId="0CB4169A" w14:textId="77777777" w:rsidR="00AF7185" w:rsidRDefault="00AF7185" w:rsidP="00AF7185">
      <w:pPr>
        <w:pStyle w:val="af9"/>
        <w:numPr>
          <w:ilvl w:val="2"/>
          <w:numId w:val="37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 xml:space="preserve">FFS whether the adjacent channel case requires the selectivity and performance of the FFT. </w:t>
      </w:r>
    </w:p>
    <w:p w14:paraId="73D3DC7F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>RAN4 should consider interferer with timing or frequency offset or both w.r.t. the desired signal for the co-channel case</w:t>
      </w:r>
    </w:p>
    <w:p w14:paraId="21BEEA13" w14:textId="77777777" w:rsidR="00AF7185" w:rsidRDefault="00AF7185" w:rsidP="00AF7185">
      <w:pPr>
        <w:pStyle w:val="af9"/>
        <w:numPr>
          <w:ilvl w:val="2"/>
          <w:numId w:val="37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lang w:eastAsia="ja-JP"/>
        </w:rPr>
      </w:pPr>
      <w:r>
        <w:rPr>
          <w:lang w:eastAsia="ja-JP"/>
        </w:rPr>
        <w:t>FFS whether this applies to the adjacent channel case</w:t>
      </w:r>
    </w:p>
    <w:p w14:paraId="3426B125" w14:textId="77777777" w:rsidR="00AF7185" w:rsidRDefault="00AF7185" w:rsidP="00AF7185">
      <w:pPr>
        <w:pStyle w:val="af9"/>
        <w:numPr>
          <w:ilvl w:val="0"/>
          <w:numId w:val="37"/>
        </w:numPr>
        <w:overflowPunct w:val="0"/>
        <w:autoSpaceDE w:val="0"/>
        <w:autoSpaceDN w:val="0"/>
        <w:adjustRightInd w:val="0"/>
        <w:spacing w:line="256" w:lineRule="auto"/>
        <w:ind w:left="1004" w:firstLineChars="0"/>
        <w:rPr>
          <w:lang w:eastAsia="ja-JP"/>
        </w:rPr>
      </w:pPr>
      <w:r>
        <w:rPr>
          <w:lang w:eastAsia="ja-JP"/>
        </w:rPr>
        <w:t>For new SBFD capable UE, further analysis of the possibility to improve selectivity performance under the assumption that UE channel bandwidth not equal the sub-band bandwidth.</w:t>
      </w:r>
    </w:p>
    <w:p w14:paraId="4B66B4E7" w14:textId="77777777" w:rsidR="00AF7185" w:rsidRDefault="00AF7185" w:rsidP="00AF7185">
      <w:pPr>
        <w:pStyle w:val="af9"/>
        <w:numPr>
          <w:ilvl w:val="0"/>
          <w:numId w:val="37"/>
        </w:numPr>
        <w:overflowPunct w:val="0"/>
        <w:autoSpaceDE w:val="0"/>
        <w:autoSpaceDN w:val="0"/>
        <w:adjustRightInd w:val="0"/>
        <w:spacing w:line="256" w:lineRule="auto"/>
        <w:ind w:left="1004" w:firstLineChars="0"/>
        <w:rPr>
          <w:lang w:eastAsia="ja-JP"/>
        </w:rPr>
      </w:pPr>
      <w:r>
        <w:rPr>
          <w:lang w:eastAsia="ja-JP"/>
        </w:rPr>
        <w:t>Companies come next meeting with technical proposals on the level of interference from an UL sub-band co-channel interferer to the UE DL sub-band. So far companies have proposed:</w:t>
      </w:r>
    </w:p>
    <w:p w14:paraId="3E36E14D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left="1724" w:firstLineChars="0"/>
        <w:rPr>
          <w:lang w:eastAsia="ja-JP"/>
        </w:rPr>
      </w:pPr>
      <w:r>
        <w:rPr>
          <w:lang w:eastAsia="ja-JP"/>
        </w:rPr>
        <w:t>33 dB at the ADC output (for FR1) based on typical performance. FFS for FR2-1</w:t>
      </w:r>
    </w:p>
    <w:p w14:paraId="5A6E2994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left="1724" w:firstLineChars="0"/>
        <w:rPr>
          <w:lang w:eastAsia="ja-JP"/>
        </w:rPr>
      </w:pPr>
      <w:r>
        <w:rPr>
          <w:lang w:eastAsia="ja-JP"/>
        </w:rPr>
        <w:t>25 dB (for FR1 and FR2-1)</w:t>
      </w:r>
    </w:p>
    <w:p w14:paraId="4F3DEE1A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left="1724" w:firstLineChars="0"/>
        <w:rPr>
          <w:lang w:eastAsia="ja-JP"/>
        </w:rPr>
      </w:pPr>
      <w:r>
        <w:rPr>
          <w:lang w:eastAsia="ja-JP"/>
        </w:rPr>
        <w:t>0 dB (for FR1 and FR2-1)</w:t>
      </w:r>
    </w:p>
    <w:p w14:paraId="15E44566" w14:textId="77777777" w:rsidR="00AF7185" w:rsidRDefault="00AF7185" w:rsidP="00AF7185">
      <w:pPr>
        <w:pStyle w:val="af9"/>
        <w:numPr>
          <w:ilvl w:val="1"/>
          <w:numId w:val="37"/>
        </w:numPr>
        <w:overflowPunct w:val="0"/>
        <w:autoSpaceDE w:val="0"/>
        <w:autoSpaceDN w:val="0"/>
        <w:adjustRightInd w:val="0"/>
        <w:spacing w:line="256" w:lineRule="auto"/>
        <w:ind w:left="1724" w:firstLineChars="0"/>
        <w:rPr>
          <w:lang w:eastAsia="ja-JP"/>
        </w:rPr>
      </w:pPr>
      <w:r>
        <w:rPr>
          <w:lang w:eastAsia="ja-JP"/>
        </w:rPr>
        <w:t>Other values not precluded for discussion next meeting.</w:t>
      </w:r>
    </w:p>
    <w:p w14:paraId="3CAD3EDA" w14:textId="298CF50F" w:rsidR="00055CCA" w:rsidRDefault="00AF7185" w:rsidP="00AF7185">
      <w:pPr>
        <w:ind w:left="284"/>
        <w:rPr>
          <w:b/>
          <w:bCs/>
          <w:i/>
          <w:iCs/>
          <w:u w:val="single"/>
          <w:lang w:eastAsia="zh-CN"/>
        </w:rPr>
      </w:pPr>
      <w:r w:rsidRPr="00AF7185">
        <w:rPr>
          <w:b/>
          <w:bCs/>
          <w:i/>
          <w:iCs/>
          <w:u w:val="single"/>
          <w:lang w:eastAsia="ja-JP"/>
        </w:rPr>
        <w:t>Effect of power contained in uplink sub-band on receiver model (blocker)</w:t>
      </w:r>
      <w:r>
        <w:rPr>
          <w:rFonts w:hint="eastAsia"/>
          <w:b/>
          <w:bCs/>
          <w:i/>
          <w:iCs/>
          <w:u w:val="single"/>
          <w:lang w:eastAsia="zh-CN"/>
        </w:rPr>
        <w:t>：</w:t>
      </w:r>
    </w:p>
    <w:p w14:paraId="201A69F5" w14:textId="77777777" w:rsidR="00AF7185" w:rsidRPr="00085B90" w:rsidRDefault="00AF7185" w:rsidP="00085B90">
      <w:pPr>
        <w:pStyle w:val="af9"/>
        <w:numPr>
          <w:ilvl w:val="0"/>
          <w:numId w:val="39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szCs w:val="24"/>
          <w:lang w:eastAsia="zh-CN"/>
        </w:rPr>
      </w:pPr>
      <w:r w:rsidRPr="00085B90">
        <w:rPr>
          <w:szCs w:val="24"/>
          <w:lang w:eastAsia="zh-CN"/>
        </w:rPr>
        <w:t>UE receiver AGC designs may vary and companies may bring contributions based on their design approach.</w:t>
      </w:r>
    </w:p>
    <w:p w14:paraId="1FA20FBA" w14:textId="52A76E01" w:rsidR="00AF7185" w:rsidRDefault="00085B90" w:rsidP="00085B90">
      <w:pPr>
        <w:pStyle w:val="af9"/>
        <w:numPr>
          <w:ilvl w:val="0"/>
          <w:numId w:val="39"/>
        </w:numPr>
        <w:overflowPunct w:val="0"/>
        <w:autoSpaceDE w:val="0"/>
        <w:autoSpaceDN w:val="0"/>
        <w:adjustRightInd w:val="0"/>
        <w:spacing w:line="256" w:lineRule="auto"/>
        <w:ind w:firstLineChars="0"/>
        <w:rPr>
          <w:szCs w:val="24"/>
          <w:lang w:eastAsia="zh-CN"/>
        </w:rPr>
      </w:pPr>
      <w:r w:rsidRPr="00085B90">
        <w:rPr>
          <w:szCs w:val="24"/>
          <w:lang w:eastAsia="zh-CN"/>
        </w:rPr>
        <w:t>In-</w:t>
      </w:r>
      <w:proofErr w:type="spellStart"/>
      <w:r w:rsidRPr="00085B90">
        <w:rPr>
          <w:szCs w:val="24"/>
          <w:lang w:eastAsia="zh-CN"/>
        </w:rPr>
        <w:t>subband</w:t>
      </w:r>
      <w:proofErr w:type="spellEnd"/>
      <w:r w:rsidRPr="00085B90">
        <w:rPr>
          <w:szCs w:val="24"/>
          <w:lang w:eastAsia="zh-CN"/>
        </w:rPr>
        <w:t xml:space="preserve"> UE self-noise over the input power range (co-channel case)</w:t>
      </w:r>
      <w:r>
        <w:rPr>
          <w:szCs w:val="24"/>
          <w:lang w:eastAsia="zh-CN"/>
        </w:rPr>
        <w:t xml:space="preserve"> is TBA</w:t>
      </w:r>
    </w:p>
    <w:p w14:paraId="7D9BB8E6" w14:textId="77777777" w:rsidR="00F22671" w:rsidRDefault="00085B90" w:rsidP="00F22671">
      <w:pPr>
        <w:overflowPunct w:val="0"/>
        <w:autoSpaceDE w:val="0"/>
        <w:autoSpaceDN w:val="0"/>
        <w:adjustRightInd w:val="0"/>
        <w:spacing w:line="256" w:lineRule="auto"/>
        <w:rPr>
          <w:lang w:eastAsia="zh-CN"/>
        </w:rPr>
      </w:pPr>
      <w:r>
        <w:rPr>
          <w:szCs w:val="24"/>
          <w:lang w:eastAsia="zh-CN"/>
        </w:rPr>
        <w:t>The</w:t>
      </w:r>
      <w:r w:rsidR="00BE6EF8">
        <w:rPr>
          <w:szCs w:val="24"/>
          <w:lang w:eastAsia="zh-CN"/>
        </w:rPr>
        <w:t xml:space="preserve"> sources for the</w:t>
      </w:r>
      <w:r>
        <w:rPr>
          <w:szCs w:val="24"/>
          <w:lang w:eastAsia="zh-CN"/>
        </w:rPr>
        <w:t xml:space="preserve"> impact to UE self-noise due to inter sub-band blocker include ADC dynamic, </w:t>
      </w:r>
      <w:r w:rsidR="00976312">
        <w:rPr>
          <w:szCs w:val="24"/>
          <w:lang w:eastAsia="zh-CN"/>
        </w:rPr>
        <w:t xml:space="preserve">RX </w:t>
      </w:r>
      <w:r w:rsidR="00BE6EF8">
        <w:rPr>
          <w:szCs w:val="24"/>
          <w:lang w:eastAsia="zh-CN"/>
        </w:rPr>
        <w:t>n</w:t>
      </w:r>
      <w:r w:rsidR="00BE6EF8">
        <w:t>on-linearity</w:t>
      </w:r>
      <w:r w:rsidR="00976312">
        <w:rPr>
          <w:szCs w:val="24"/>
          <w:lang w:eastAsia="zh-CN"/>
        </w:rPr>
        <w:t xml:space="preserve">, </w:t>
      </w:r>
      <w:r w:rsidR="0049459E">
        <w:rPr>
          <w:lang w:eastAsia="zh-CN"/>
        </w:rPr>
        <w:t xml:space="preserve">reciprocal mixing, </w:t>
      </w:r>
      <w:r w:rsidR="003D52E3">
        <w:rPr>
          <w:szCs w:val="24"/>
          <w:lang w:eastAsia="zh-CN"/>
        </w:rPr>
        <w:t xml:space="preserve">performance of the FFT. It can be found these impact would depend on the AGC design, e.g. </w:t>
      </w:r>
      <w:r w:rsidR="00EB5310">
        <w:rPr>
          <w:szCs w:val="24"/>
          <w:lang w:eastAsia="zh-CN"/>
        </w:rPr>
        <w:t xml:space="preserve">the AGC will adjust the link gain </w:t>
      </w:r>
      <w:r w:rsidR="006A7EF2">
        <w:rPr>
          <w:szCs w:val="24"/>
          <w:lang w:eastAsia="zh-CN"/>
        </w:rPr>
        <w:t>either at front end or ADC or both when</w:t>
      </w:r>
      <w:r w:rsidR="00EB5310">
        <w:rPr>
          <w:szCs w:val="24"/>
          <w:lang w:eastAsia="zh-CN"/>
        </w:rPr>
        <w:t xml:space="preserve"> the input power </w:t>
      </w:r>
      <w:r w:rsidR="006A7EF2">
        <w:rPr>
          <w:szCs w:val="24"/>
          <w:lang w:eastAsia="zh-CN"/>
        </w:rPr>
        <w:t>varies, the performance of RX n</w:t>
      </w:r>
      <w:r w:rsidR="006A7EF2">
        <w:t>on-linearity</w:t>
      </w:r>
      <w:r w:rsidR="003C5E38">
        <w:t>,</w:t>
      </w:r>
      <w:r w:rsidR="006A7EF2">
        <w:rPr>
          <w:szCs w:val="24"/>
          <w:lang w:eastAsia="zh-CN"/>
        </w:rPr>
        <w:t xml:space="preserve"> </w:t>
      </w:r>
      <w:r w:rsidR="003C5E38">
        <w:rPr>
          <w:lang w:eastAsia="zh-CN"/>
        </w:rPr>
        <w:t xml:space="preserve">reciprocal mixing </w:t>
      </w:r>
      <w:r w:rsidR="006A7EF2">
        <w:rPr>
          <w:szCs w:val="24"/>
          <w:lang w:eastAsia="zh-CN"/>
        </w:rPr>
        <w:t xml:space="preserve">and ADC noise will change accordingly. </w:t>
      </w:r>
      <w:r w:rsidR="00DB78E0">
        <w:rPr>
          <w:szCs w:val="24"/>
          <w:lang w:eastAsia="zh-CN"/>
        </w:rPr>
        <w:t>W</w:t>
      </w:r>
      <w:r w:rsidR="00647524">
        <w:rPr>
          <w:szCs w:val="24"/>
          <w:lang w:eastAsia="zh-CN"/>
        </w:rPr>
        <w:t xml:space="preserve">e had the agreement that the implementation of </w:t>
      </w:r>
      <w:r w:rsidR="00647524" w:rsidRPr="00085B90">
        <w:rPr>
          <w:szCs w:val="24"/>
          <w:lang w:eastAsia="zh-CN"/>
        </w:rPr>
        <w:t xml:space="preserve">AGC designs </w:t>
      </w:r>
      <w:r w:rsidR="00647524">
        <w:rPr>
          <w:szCs w:val="24"/>
          <w:lang w:eastAsia="zh-CN"/>
        </w:rPr>
        <w:t xml:space="preserve">from companies </w:t>
      </w:r>
      <w:r w:rsidR="00647524" w:rsidRPr="00085B90">
        <w:rPr>
          <w:szCs w:val="24"/>
          <w:lang w:eastAsia="zh-CN"/>
        </w:rPr>
        <w:t>may vary and companies may bring contributions based on their design approach</w:t>
      </w:r>
      <w:r w:rsidR="00DB78E0">
        <w:rPr>
          <w:szCs w:val="24"/>
          <w:lang w:eastAsia="zh-CN"/>
        </w:rPr>
        <w:t>.</w:t>
      </w:r>
      <w:r w:rsidR="0049459E">
        <w:rPr>
          <w:szCs w:val="24"/>
          <w:lang w:eastAsia="zh-CN"/>
        </w:rPr>
        <w:t xml:space="preserve"> In our view, due to the AGC, the additional contribution from the RX non-linearity and </w:t>
      </w:r>
      <w:r w:rsidR="0049459E">
        <w:rPr>
          <w:lang w:eastAsia="zh-CN"/>
        </w:rPr>
        <w:t xml:space="preserve">reciprocal mixing is not significant. Hence the </w:t>
      </w:r>
      <w:r w:rsidR="003C5E38">
        <w:rPr>
          <w:lang w:eastAsia="zh-CN"/>
        </w:rPr>
        <w:t xml:space="preserve">receiver’s effective noise figure as a function </w:t>
      </w:r>
      <w:r w:rsidR="00C42921">
        <w:rPr>
          <w:lang w:eastAsia="zh-CN"/>
        </w:rPr>
        <w:t>of the input power can be modelled for co-channel sub-band receiver.</w:t>
      </w:r>
    </w:p>
    <w:p w14:paraId="02BB7666" w14:textId="44FEE6B6" w:rsidR="00F22671" w:rsidRDefault="00F22671" w:rsidP="00F22671">
      <w:pPr>
        <w:overflowPunct w:val="0"/>
        <w:autoSpaceDE w:val="0"/>
        <w:autoSpaceDN w:val="0"/>
        <w:adjustRightInd w:val="0"/>
        <w:spacing w:line="256" w:lineRule="auto"/>
      </w:pPr>
      <w:r>
        <w:rPr>
          <w:rFonts w:hint="eastAsia"/>
        </w:rPr>
        <w:t>F</w:t>
      </w:r>
      <w:r>
        <w:t xml:space="preserve">or example, the </w:t>
      </w:r>
      <w:r>
        <w:rPr>
          <w:lang w:eastAsia="zh-CN"/>
        </w:rPr>
        <w:t xml:space="preserve">effective </w:t>
      </w:r>
      <w:r>
        <w:t xml:space="preserve">noise figure can be </w:t>
      </w:r>
      <w:r>
        <w:t>modelled</w:t>
      </w:r>
      <w:r>
        <w:t xml:space="preserve"> as a piecewise function </w:t>
      </w:r>
      <w:proofErr w:type="gramStart"/>
      <w: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blocker</m:t>
            </m:r>
          </m:sub>
        </m:sSub>
      </m:oMath>
      <w:r>
        <w:rPr>
          <w:rFonts w:hint="eastAsia"/>
        </w:rPr>
        <w:t>,</w:t>
      </w:r>
      <w:r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blocker</m:t>
            </m:r>
          </m:sub>
        </m:sSub>
      </m:oMath>
      <w:r>
        <w:rPr>
          <w:rFonts w:hint="eastAsia"/>
        </w:rPr>
        <w:t xml:space="preserve"> </w:t>
      </w:r>
      <w:r>
        <w:t>denotes the total power of UE-UE blocking interferences, as follows:</w:t>
      </w:r>
    </w:p>
    <w:p w14:paraId="6CB9DB34" w14:textId="77777777" w:rsidR="00F22671" w:rsidRPr="001E4C77" w:rsidRDefault="00F22671" w:rsidP="00F22671">
      <w:pPr>
        <w:spacing w:before="72"/>
      </w:pPr>
      <m:oMathPara>
        <m:oMath>
          <m:r>
            <m:rPr>
              <m:sty m:val="p"/>
            </m:rPr>
            <w:rPr>
              <w:rFonts w:ascii="Cambria Math" w:hAnsi="Cambria Math"/>
            </w:rPr>
            <m:t>NF=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&lt;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blocker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&lt;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&lt;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blocker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</m:oMath>
      </m:oMathPara>
    </w:p>
    <w:p w14:paraId="311B43EB" w14:textId="5BC9A17D" w:rsidR="00F22671" w:rsidRDefault="00F22671" w:rsidP="00F22671">
      <w:pPr>
        <w:spacing w:before="72"/>
      </w:pPr>
      <w:r>
        <w:t>Where</w:t>
      </w:r>
    </w:p>
    <w:p w14:paraId="7E0959AC" w14:textId="77777777" w:rsidR="00F22671" w:rsidRPr="001E4C77" w:rsidRDefault="00F22671" w:rsidP="00F22671">
      <w:pPr>
        <w:pStyle w:val="af9"/>
        <w:widowControl w:val="0"/>
        <w:numPr>
          <w:ilvl w:val="0"/>
          <w:numId w:val="41"/>
        </w:numPr>
        <w:adjustRightInd w:val="0"/>
        <w:snapToGrid w:val="0"/>
        <w:spacing w:beforeLines="30" w:before="72" w:after="0" w:line="60" w:lineRule="atLeast"/>
        <w:ind w:firstLineChars="0"/>
        <w:jc w:val="both"/>
      </w:pPr>
      <m:oMath>
        <m:r>
          <w:rPr>
            <w:rFonts w:ascii="Cambria Math" w:hAnsi="Cambria Math"/>
          </w:rPr>
          <m:t>N</m:t>
        </m:r>
      </m:oMath>
      <w:r w:rsidRPr="001E4C77">
        <w:t xml:space="preserve"> is the number of s</w:t>
      </w:r>
      <w:proofErr w:type="spellStart"/>
      <w:r>
        <w:t>egments</w:t>
      </w:r>
      <w:proofErr w:type="spellEnd"/>
      <w:r>
        <w:t>,</w:t>
      </w:r>
    </w:p>
    <w:p w14:paraId="47C20A61" w14:textId="77777777" w:rsidR="00F22671" w:rsidRPr="001E4C77" w:rsidRDefault="00F22671" w:rsidP="00F22671">
      <w:pPr>
        <w:pStyle w:val="af9"/>
        <w:widowControl w:val="0"/>
        <w:numPr>
          <w:ilvl w:val="0"/>
          <w:numId w:val="41"/>
        </w:numPr>
        <w:adjustRightInd w:val="0"/>
        <w:snapToGrid w:val="0"/>
        <w:spacing w:beforeLines="30" w:before="72" w:after="0" w:line="60" w:lineRule="atLeast"/>
        <w:ind w:firstLineChars="0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E4C77">
        <w:t xml:space="preserve"> is the threshold between segment </w:t>
      </w:r>
      <m:oMath>
        <m:r>
          <m:rPr>
            <m:sty m:val="p"/>
          </m:rPr>
          <w:rPr>
            <w:rFonts w:ascii="Cambria Math" w:hAnsi="Cambria Math"/>
          </w:rPr>
          <m:t>i</m:t>
        </m:r>
      </m:oMath>
      <w:r w:rsidRPr="001E4C77">
        <w:t xml:space="preserve"> and segment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+1</m:t>
        </m:r>
      </m:oMath>
      <w:r w:rsidRPr="001E4C77">
        <w:t xml:space="preserve"> 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=1,2,…,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-1</m:t>
        </m:r>
      </m:oMath>
      <w:r w:rsidRPr="001E4C77">
        <w:t>,</w:t>
      </w:r>
    </w:p>
    <w:p w14:paraId="7A14FE7B" w14:textId="77777777" w:rsidR="00F22671" w:rsidRPr="001E4C77" w:rsidRDefault="00F22671" w:rsidP="00F22671">
      <w:pPr>
        <w:pStyle w:val="af9"/>
        <w:widowControl w:val="0"/>
        <w:numPr>
          <w:ilvl w:val="0"/>
          <w:numId w:val="41"/>
        </w:numPr>
        <w:adjustRightInd w:val="0"/>
        <w:snapToGrid w:val="0"/>
        <w:spacing w:beforeLines="30" w:before="72" w:after="0" w:line="60" w:lineRule="atLeast"/>
        <w:ind w:firstLineChars="0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1E4C77">
        <w:t xml:space="preserve"> </w:t>
      </w:r>
      <w:proofErr w:type="gramStart"/>
      <w:r w:rsidRPr="001E4C77">
        <w:t>is</w:t>
      </w:r>
      <w:proofErr w:type="gramEnd"/>
      <w:r w:rsidRPr="001E4C77">
        <w:t xml:space="preserve"> the noise figure for segment </w:t>
      </w:r>
      <m:oMath>
        <m:r>
          <w:rPr>
            <w:rFonts w:ascii="Cambria Math" w:hAnsi="Cambria Math"/>
          </w:rPr>
          <m:t>i</m:t>
        </m:r>
      </m:oMath>
      <w:r w:rsidRPr="001E4C77">
        <w:t xml:space="preserve">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=1,2,…,</m:t>
        </m:r>
        <m:r>
          <w:rPr>
            <w:rFonts w:ascii="Cambria Math" w:hAnsi="Cambria Math"/>
          </w:rPr>
          <m:t>N</m:t>
        </m:r>
      </m:oMath>
      <w:r>
        <w:t>.</w:t>
      </w:r>
    </w:p>
    <w:p w14:paraId="353377E3" w14:textId="7428562C" w:rsidR="000946DB" w:rsidRDefault="00D8752C" w:rsidP="00085B90">
      <w:pPr>
        <w:overflowPunct w:val="0"/>
        <w:autoSpaceDE w:val="0"/>
        <w:autoSpaceDN w:val="0"/>
        <w:adjustRightInd w:val="0"/>
        <w:spacing w:line="256" w:lineRule="auto"/>
        <w:rPr>
          <w:lang w:eastAsia="zh-CN"/>
        </w:rPr>
      </w:pPr>
      <w:r>
        <w:rPr>
          <w:lang w:eastAsia="zh-CN"/>
        </w:rPr>
        <w:lastRenderedPageBreak/>
        <w:t xml:space="preserve">In our evaluation, it is found that the TX in-band emission is dominate factor to the overall noise rise. Hence we are open to adopt a simplified model for </w:t>
      </w:r>
      <w:r>
        <w:rPr>
          <w:lang w:eastAsia="zh-CN"/>
        </w:rPr>
        <w:t>co-channel sub-band receiver</w:t>
      </w:r>
      <w:r>
        <w:rPr>
          <w:lang w:eastAsia="zh-CN"/>
        </w:rPr>
        <w:t>.</w:t>
      </w:r>
    </w:p>
    <w:p w14:paraId="57840240" w14:textId="0B9EECAE" w:rsidR="00D8752C" w:rsidRPr="00F22671" w:rsidRDefault="00D8752C" w:rsidP="00085B90">
      <w:pPr>
        <w:overflowPunct w:val="0"/>
        <w:autoSpaceDE w:val="0"/>
        <w:autoSpaceDN w:val="0"/>
        <w:adjustRightInd w:val="0"/>
        <w:spacing w:line="256" w:lineRule="auto"/>
        <w:rPr>
          <w:lang w:eastAsia="zh-CN"/>
        </w:rPr>
      </w:pPr>
      <w:r w:rsidRPr="00055CCA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lang w:eastAsia="zh-CN"/>
        </w:rPr>
        <w:t>:</w:t>
      </w:r>
      <w:r>
        <w:rPr>
          <w:lang w:eastAsia="zh-CN"/>
        </w:rPr>
        <w:t xml:space="preserve"> </w:t>
      </w:r>
      <w:r>
        <w:rPr>
          <w:lang w:eastAsia="zh-CN"/>
        </w:rPr>
        <w:t>the receiver’s effective noise figure as a function of the input power can be modelled for co-channel sub-band receiver.</w:t>
      </w:r>
      <w:r>
        <w:rPr>
          <w:lang w:eastAsia="zh-CN"/>
        </w:rPr>
        <w:t xml:space="preserve"> Meanwhile it is open to discuss a simplified model.</w:t>
      </w:r>
    </w:p>
    <w:p w14:paraId="6DD71E08" w14:textId="1EECDD9A" w:rsidR="00146125" w:rsidRPr="00D46CD4" w:rsidRDefault="00146125" w:rsidP="00146125">
      <w:pPr>
        <w:pStyle w:val="3GPPlevel3"/>
      </w:pPr>
      <w:r>
        <w:t>2.3 Remaining part of TX modelling</w:t>
      </w:r>
      <w:r>
        <w:rPr>
          <w:lang w:eastAsia="ja-JP"/>
        </w:rPr>
        <w:t xml:space="preserve"> (adjacent channel)</w:t>
      </w:r>
    </w:p>
    <w:p w14:paraId="70A80699" w14:textId="77777777" w:rsidR="00146125" w:rsidRDefault="00146125" w:rsidP="00146125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6EAD0BC8" w14:textId="77777777" w:rsidR="00146125" w:rsidRDefault="00146125" w:rsidP="00146125">
      <w:pPr>
        <w:pStyle w:val="af9"/>
        <w:numPr>
          <w:ilvl w:val="1"/>
          <w:numId w:val="40"/>
        </w:numPr>
        <w:overflowPunct w:val="0"/>
        <w:autoSpaceDE w:val="0"/>
        <w:autoSpaceDN w:val="0"/>
        <w:adjustRightInd w:val="0"/>
        <w:spacing w:after="60" w:line="256" w:lineRule="auto"/>
        <w:ind w:firstLineChars="0"/>
        <w:rPr>
          <w:lang w:val="sv-SE" w:eastAsia="zh-CN"/>
        </w:rPr>
      </w:pPr>
      <w:r>
        <w:rPr>
          <w:lang w:val="sv-SE" w:eastAsia="zh-CN"/>
        </w:rPr>
        <w:t>30 dB is the total distortion power in the adjacent channel on each side of SBFD carrier. The ACLR1 distortion PSD is modeled as flat over that range.</w:t>
      </w:r>
    </w:p>
    <w:p w14:paraId="7FA9DD68" w14:textId="77777777" w:rsidR="00146125" w:rsidRDefault="00146125" w:rsidP="00146125">
      <w:pPr>
        <w:pStyle w:val="af9"/>
        <w:numPr>
          <w:ilvl w:val="1"/>
          <w:numId w:val="40"/>
        </w:numPr>
        <w:overflowPunct w:val="0"/>
        <w:autoSpaceDE w:val="0"/>
        <w:autoSpaceDN w:val="0"/>
        <w:adjustRightInd w:val="0"/>
        <w:spacing w:after="60" w:line="256" w:lineRule="auto"/>
        <w:ind w:firstLineChars="0"/>
        <w:rPr>
          <w:lang w:val="sv-SE" w:eastAsia="zh-CN"/>
        </w:rPr>
      </w:pPr>
      <w:r>
        <w:rPr>
          <w:lang w:val="sv-SE" w:eastAsia="zh-CN"/>
        </w:rPr>
        <w:t>FFS whether RAN4 need to model allocations that are less than fully allocated uplink sub-bands.</w:t>
      </w:r>
    </w:p>
    <w:p w14:paraId="329FD266" w14:textId="77777777" w:rsidR="00146125" w:rsidRDefault="00146125" w:rsidP="00146125">
      <w:pPr>
        <w:spacing w:after="120"/>
        <w:ind w:left="1288"/>
        <w:rPr>
          <w:szCs w:val="24"/>
          <w:lang w:eastAsia="zh-CN"/>
        </w:rPr>
      </w:pPr>
      <w:r>
        <w:rPr>
          <w:szCs w:val="24"/>
          <w:lang w:eastAsia="zh-CN"/>
        </w:rPr>
        <w:t xml:space="preserve">30 dB was chosen based on the 38.101-1 NR ACLR for 4 GHz simulation frequency. </w:t>
      </w:r>
    </w:p>
    <w:p w14:paraId="5E6EAC53" w14:textId="7F9EC04E" w:rsidR="005E2E31" w:rsidRDefault="00146125" w:rsidP="00085B90">
      <w:pPr>
        <w:overflowPunct w:val="0"/>
        <w:autoSpaceDE w:val="0"/>
        <w:autoSpaceDN w:val="0"/>
        <w:adjustRightInd w:val="0"/>
        <w:spacing w:line="256" w:lineRule="auto"/>
        <w:rPr>
          <w:lang w:val="sv-SE" w:eastAsia="zh-CN"/>
        </w:rPr>
      </w:pPr>
      <w:r>
        <w:rPr>
          <w:szCs w:val="24"/>
          <w:lang w:eastAsia="zh-CN"/>
        </w:rPr>
        <w:t xml:space="preserve">On the FFS part </w:t>
      </w:r>
      <w:r>
        <w:rPr>
          <w:lang w:val="sv-SE" w:eastAsia="zh-CN"/>
        </w:rPr>
        <w:t xml:space="preserve">whether RAN4 need to model allocations that are less than fully allocated uplink sub-bands. It is true that the adjacent leakage could be smaller for less than fully allocated sub-bands case. For </w:t>
      </w:r>
      <w:r w:rsidR="007939F8">
        <w:rPr>
          <w:lang w:val="sv-SE" w:eastAsia="zh-CN"/>
        </w:rPr>
        <w:t>example in the E-UTRA simulation, two steps ACLR model was use</w:t>
      </w:r>
      <w:r w:rsidR="00B767CD">
        <w:rPr>
          <w:lang w:val="sv-SE" w:eastAsia="zh-CN"/>
        </w:rPr>
        <w:t xml:space="preserve">d in the co-existence study. Since we agreed only ACLR1 distortion is modeled over the adjacent channel, we think we can take </w:t>
      </w:r>
      <w:r w:rsidR="004730D9">
        <w:rPr>
          <w:lang w:val="sv-SE" w:eastAsia="zh-CN"/>
        </w:rPr>
        <w:t xml:space="preserve">the same approach at current stage. </w:t>
      </w:r>
      <w:r w:rsidR="00DA6557">
        <w:rPr>
          <w:lang w:val="sv-SE" w:eastAsia="zh-CN"/>
        </w:rPr>
        <w:t>We can revisit the discussion on 2 steps model if UE-UE CLI becomes significant.</w:t>
      </w:r>
    </w:p>
    <w:p w14:paraId="04590763" w14:textId="53A027D8" w:rsidR="007939F8" w:rsidRDefault="007939F8" w:rsidP="007939F8">
      <w:pPr>
        <w:pStyle w:val="TF"/>
        <w:rPr>
          <w:lang w:val="it-IT"/>
        </w:rPr>
      </w:pPr>
      <w:r>
        <w:object w:dxaOrig="9720" w:dyaOrig="3435" w14:anchorId="15E81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5pt;height:171.5pt" o:ole="">
            <v:imagedata r:id="rId9" o:title=""/>
          </v:shape>
          <o:OLEObject Type="Embed" ProgID="Word.Picture.8" ShapeID="_x0000_i1025" DrawAspect="Content" ObjectID="_1738167902" r:id="rId10"/>
        </w:object>
      </w:r>
      <w:r>
        <w:rPr>
          <w:lang w:val="it-IT"/>
        </w:rPr>
        <w:t>Figure 5.2 in TS 36.942: 20 MHz E-UTRA UE aggressor to 10 MHz E-UTRA UE victims</w:t>
      </w:r>
    </w:p>
    <w:p w14:paraId="1D2691BD" w14:textId="52233153" w:rsidR="007939F8" w:rsidRPr="007939F8" w:rsidRDefault="00DA6557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  <w:r w:rsidRPr="00055CCA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>
        <w:rPr>
          <w:lang w:eastAsia="zh-CN"/>
        </w:rPr>
        <w:t xml:space="preserve">: At current stage, it is not necessary to </w:t>
      </w:r>
      <w:r>
        <w:rPr>
          <w:lang w:val="sv-SE" w:eastAsia="zh-CN"/>
        </w:rPr>
        <w:t>model allocations that are less than fully allocated uplink sub-bands. We can revisit the discussion on 2 steps model if UE-UE CLI becomes significant.</w:t>
      </w:r>
    </w:p>
    <w:bookmarkEnd w:id="2"/>
    <w:bookmarkEnd w:id="3"/>
    <w:bookmarkEnd w:id="4"/>
    <w:bookmarkEnd w:id="5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60166798" w:rsidR="00BF2097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DA6557">
        <w:t xml:space="preserve">on the </w:t>
      </w:r>
      <w:proofErr w:type="spellStart"/>
      <w:r w:rsidR="00DA6557">
        <w:rPr>
          <w:lang w:eastAsia="zh-CN"/>
        </w:rPr>
        <w:t>Tx</w:t>
      </w:r>
      <w:proofErr w:type="spellEnd"/>
      <w:r w:rsidR="00DA6557">
        <w:rPr>
          <w:lang w:eastAsia="zh-CN"/>
        </w:rPr>
        <w:t>/Rx models for UE</w:t>
      </w:r>
      <w:r w:rsidR="00F02DAC">
        <w:rPr>
          <w:lang w:eastAsia="zh-CN"/>
        </w:rPr>
        <w:t>.</w:t>
      </w:r>
    </w:p>
    <w:p w14:paraId="76328F7C" w14:textId="77777777" w:rsidR="00F02DAC" w:rsidRDefault="00F02DAC" w:rsidP="00F02DAC">
      <w:pPr>
        <w:rPr>
          <w:lang w:eastAsia="zh-CN"/>
        </w:rPr>
      </w:pPr>
      <w:r w:rsidRPr="00055CCA">
        <w:rPr>
          <w:b/>
          <w:lang w:eastAsia="zh-CN"/>
        </w:rPr>
        <w:t>Observation 1</w:t>
      </w:r>
      <w:r>
        <w:rPr>
          <w:lang w:eastAsia="zh-CN"/>
        </w:rPr>
        <w:t xml:space="preserve">: at least for DUD configuration, the IQ image also </w:t>
      </w:r>
      <w:bookmarkStart w:id="6" w:name="_GoBack"/>
      <w:bookmarkEnd w:id="6"/>
      <w:r>
        <w:rPr>
          <w:lang w:eastAsia="zh-CN"/>
        </w:rPr>
        <w:t>can be ignored.</w:t>
      </w:r>
    </w:p>
    <w:p w14:paraId="3E83683B" w14:textId="77777777" w:rsidR="00D8752C" w:rsidRPr="00F22671" w:rsidRDefault="00D8752C" w:rsidP="00D8752C">
      <w:pPr>
        <w:overflowPunct w:val="0"/>
        <w:autoSpaceDE w:val="0"/>
        <w:autoSpaceDN w:val="0"/>
        <w:adjustRightInd w:val="0"/>
        <w:spacing w:line="256" w:lineRule="auto"/>
        <w:rPr>
          <w:lang w:eastAsia="zh-CN"/>
        </w:rPr>
      </w:pPr>
      <w:r w:rsidRPr="00055CCA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lang w:eastAsia="zh-CN"/>
        </w:rPr>
        <w:t>: the receiver’s effective noise figure as a function of the input power can be modelled for co-channel sub-band receiver. Meanwhile it is open to discuss a simplified model.</w:t>
      </w:r>
    </w:p>
    <w:p w14:paraId="56910BE8" w14:textId="16398678" w:rsidR="00F02DAC" w:rsidRPr="00F02DAC" w:rsidRDefault="00F02DAC" w:rsidP="00F02DAC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val="it-IT" w:eastAsia="zh-CN"/>
        </w:rPr>
      </w:pPr>
      <w:r w:rsidRPr="00055CCA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>
        <w:rPr>
          <w:lang w:eastAsia="zh-CN"/>
        </w:rPr>
        <w:t xml:space="preserve">: At current stage, it is not necessary to </w:t>
      </w:r>
      <w:r>
        <w:rPr>
          <w:lang w:val="sv-SE" w:eastAsia="zh-CN"/>
        </w:rPr>
        <w:t>model allocations that are less than fully allocated uplink sub-bands. We can revisit the discussion on 2 steps model if UE-UE CLI becomes significant.</w:t>
      </w: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34D0F7DA" w:rsidR="005C4247" w:rsidRPr="00165721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7F687A">
        <w:rPr>
          <w:lang w:eastAsia="zh-CN"/>
        </w:rPr>
        <w:t>R4-2220245</w:t>
      </w:r>
      <w:r>
        <w:rPr>
          <w:lang w:eastAsia="zh-CN"/>
        </w:rPr>
        <w:t>, “</w:t>
      </w:r>
      <w:r w:rsidRPr="007F687A">
        <w:rPr>
          <w:lang w:eastAsia="zh-CN"/>
        </w:rPr>
        <w:t>WF for the feasibility from UE aspect</w:t>
      </w:r>
      <w:r>
        <w:rPr>
          <w:lang w:eastAsia="zh-CN"/>
        </w:rPr>
        <w:t xml:space="preserve">”, </w:t>
      </w:r>
      <w:r w:rsidRPr="007F687A">
        <w:rPr>
          <w:lang w:eastAsia="zh-CN"/>
        </w:rPr>
        <w:t>Qualcomm</w:t>
      </w:r>
    </w:p>
    <w:sectPr w:rsidR="005C4247" w:rsidRPr="0016572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68836" w14:textId="77777777" w:rsidR="00AD6A08" w:rsidRDefault="00AD6A08">
      <w:r>
        <w:separator/>
      </w:r>
    </w:p>
  </w:endnote>
  <w:endnote w:type="continuationSeparator" w:id="0">
    <w:p w14:paraId="62454886" w14:textId="77777777" w:rsidR="00AD6A08" w:rsidRDefault="00AD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5646E" w14:textId="77777777" w:rsidR="00AD6A08" w:rsidRDefault="00AD6A08">
      <w:r>
        <w:separator/>
      </w:r>
    </w:p>
  </w:footnote>
  <w:footnote w:type="continuationSeparator" w:id="0">
    <w:p w14:paraId="5A8D6BB6" w14:textId="77777777" w:rsidR="00AD6A08" w:rsidRDefault="00AD6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94365C7"/>
    <w:multiLevelType w:val="hybridMultilevel"/>
    <w:tmpl w:val="1242C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DB60718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7"/>
  </w:num>
  <w:num w:numId="5">
    <w:abstractNumId w:val="22"/>
  </w:num>
  <w:num w:numId="6">
    <w:abstractNumId w:val="16"/>
  </w:num>
  <w:num w:numId="7">
    <w:abstractNumId w:val="2"/>
  </w:num>
  <w:num w:numId="8">
    <w:abstractNumId w:val="3"/>
  </w:num>
  <w:num w:numId="9">
    <w:abstractNumId w:val="12"/>
  </w:num>
  <w:num w:numId="10">
    <w:abstractNumId w:val="38"/>
  </w:num>
  <w:num w:numId="11">
    <w:abstractNumId w:val="24"/>
  </w:num>
  <w:num w:numId="12">
    <w:abstractNumId w:val="14"/>
  </w:num>
  <w:num w:numId="13">
    <w:abstractNumId w:val="33"/>
  </w:num>
  <w:num w:numId="14">
    <w:abstractNumId w:val="9"/>
  </w:num>
  <w:num w:numId="15">
    <w:abstractNumId w:val="25"/>
  </w:num>
  <w:num w:numId="16">
    <w:abstractNumId w:val="32"/>
  </w:num>
  <w:num w:numId="17">
    <w:abstractNumId w:val="5"/>
  </w:num>
  <w:num w:numId="18">
    <w:abstractNumId w:val="36"/>
  </w:num>
  <w:num w:numId="19">
    <w:abstractNumId w:val="30"/>
  </w:num>
  <w:num w:numId="20">
    <w:abstractNumId w:val="20"/>
  </w:num>
  <w:num w:numId="21">
    <w:abstractNumId w:val="11"/>
  </w:num>
  <w:num w:numId="22">
    <w:abstractNumId w:val="18"/>
  </w:num>
  <w:num w:numId="23">
    <w:abstractNumId w:val="35"/>
  </w:num>
  <w:num w:numId="24">
    <w:abstractNumId w:val="6"/>
  </w:num>
  <w:num w:numId="25">
    <w:abstractNumId w:val="31"/>
  </w:num>
  <w:num w:numId="26">
    <w:abstractNumId w:val="17"/>
  </w:num>
  <w:num w:numId="27">
    <w:abstractNumId w:val="28"/>
  </w:num>
  <w:num w:numId="28">
    <w:abstractNumId w:val="10"/>
  </w:num>
  <w:num w:numId="29">
    <w:abstractNumId w:val="21"/>
  </w:num>
  <w:num w:numId="30">
    <w:abstractNumId w:val="7"/>
  </w:num>
  <w:num w:numId="31">
    <w:abstractNumId w:val="15"/>
  </w:num>
  <w:num w:numId="32">
    <w:abstractNumId w:val="34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C090F"/>
    <w:rsid w:val="002D292F"/>
    <w:rsid w:val="002D4665"/>
    <w:rsid w:val="002D6306"/>
    <w:rsid w:val="002E00EE"/>
    <w:rsid w:val="002F283D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C5E38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459E"/>
    <w:rsid w:val="00495EBA"/>
    <w:rsid w:val="004962A3"/>
    <w:rsid w:val="00497FF8"/>
    <w:rsid w:val="004A0CC3"/>
    <w:rsid w:val="004A2E34"/>
    <w:rsid w:val="004A56DF"/>
    <w:rsid w:val="004A6B8E"/>
    <w:rsid w:val="004B400C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3D11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00C3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2CFD"/>
    <w:rsid w:val="008C3188"/>
    <w:rsid w:val="008C384C"/>
    <w:rsid w:val="008D434B"/>
    <w:rsid w:val="008E066E"/>
    <w:rsid w:val="008E2A44"/>
    <w:rsid w:val="008E7741"/>
    <w:rsid w:val="008E7C7F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87D"/>
    <w:rsid w:val="00954CE5"/>
    <w:rsid w:val="009611D5"/>
    <w:rsid w:val="00964F1F"/>
    <w:rsid w:val="00966551"/>
    <w:rsid w:val="00975261"/>
    <w:rsid w:val="00976312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6A08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921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7210"/>
    <w:rsid w:val="00D40EB5"/>
    <w:rsid w:val="00D42ED2"/>
    <w:rsid w:val="00D45EA7"/>
    <w:rsid w:val="00D46B4A"/>
    <w:rsid w:val="00D46CD4"/>
    <w:rsid w:val="00D47056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52C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B78E0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E185B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671"/>
    <w:rsid w:val="00F22EC7"/>
    <w:rsid w:val="00F231F2"/>
    <w:rsid w:val="00F325C8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2E4F1-B9C6-4196-9C3C-9461080C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4084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20</cp:revision>
  <cp:lastPrinted>2019-02-25T13:05:00Z</cp:lastPrinted>
  <dcterms:created xsi:type="dcterms:W3CDTF">2022-11-02T02:23:00Z</dcterms:created>
  <dcterms:modified xsi:type="dcterms:W3CDTF">2023-02-17T11:39:00Z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(3)JJYmhZzyfl6bnvWjwR57GX2lQUSj2l/CULwF2pJ5cgDRPplevzB3AeqPk4Lkqo/VUSd7QCNc
+Ajy3rthrI2pn5Std6B4DcjYtY/kUCkqDAkdCbgEQrkREzttnHbIGmD/1M5O4QfXfMUN5oOv
f16w+h6Ra4WwDsYMcmpMUgFgvoELmFdM/HBaYB86RlMpZ1emFf/EN8eO7XQXBDQnrTlWAdqU
fs9aOssHjRYxk2yBEu</vt:lpwstr>
  </property>
  <property fmtid="{D5CDD505-2E9C-101B-9397-08002B2CF9AE}" pid="3" name="_2015_ms_pID_7253431">
    <vt:lpwstr>k6vxXpfJARCul2Gu7c0WibfS8Tmu69lpZlgTVIAV8XearHEYDEEvBz
/8Uxg5qiZ1RmDTQjQz/wqNwrXMOZo7ssi0zhaeshz2FBkbhVakeQoYhvYpSO9e3UkR/QLleV
nZaV0y2JI0cQxkOv7WCWYT2/RGHjv2QOTKWyFmElJBTuvLVbSbfdkL89dwkTKG0/BMPa2JRj
oiFwV5f08u+w0vCSXJS0fLnfVKWwfE34S/+d</vt:lpwstr>
  </property>
  <property fmtid="{D5CDD505-2E9C-101B-9397-08002B2CF9AE}" pid="4" name="_2015_ms_pID_7253432">
    <vt:lpwstr>0Q==</vt:lpwstr>
  </property>
</Properties>
</file>